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F75165">
        <w:rPr>
          <w:rFonts w:ascii="Garamond" w:hAnsi="Garamond" w:cstheme="minorHAnsi"/>
          <w:sz w:val="18"/>
          <w:szCs w:val="18"/>
        </w:rPr>
        <w:t>6</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F75165" w:rsidP="00F75165">
            <w:pPr>
              <w:spacing w:after="0" w:line="15" w:lineRule="atLeast"/>
              <w:rPr>
                <w:rFonts w:ascii="Garamond" w:hAnsi="Garamond"/>
                <w:b/>
                <w:sz w:val="16"/>
                <w:szCs w:val="16"/>
              </w:rPr>
            </w:pPr>
            <w:r>
              <w:rPr>
                <w:rFonts w:ascii="Garamond" w:hAnsi="Garamond"/>
                <w:b/>
                <w:sz w:val="16"/>
                <w:szCs w:val="16"/>
              </w:rPr>
              <w:t xml:space="preserve">ГОДОВОЙ </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F75165" w:rsidP="00C803F2">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F75165" w:rsidP="00F75165">
            <w:pPr>
              <w:spacing w:after="0" w:line="240" w:lineRule="auto"/>
              <w:rPr>
                <w:rFonts w:ascii="Garamond" w:hAnsi="Garamond"/>
                <w:b/>
                <w:sz w:val="16"/>
                <w:szCs w:val="16"/>
              </w:rPr>
            </w:pPr>
            <w:r>
              <w:rPr>
                <w:rFonts w:ascii="Garamond" w:hAnsi="Garamond"/>
                <w:b/>
                <w:sz w:val="16"/>
                <w:szCs w:val="16"/>
              </w:rPr>
              <w:t>365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C803F2" w:rsidP="00F75165">
            <w:pPr>
              <w:tabs>
                <w:tab w:val="left" w:pos="3375"/>
              </w:tabs>
              <w:spacing w:after="0" w:line="240" w:lineRule="auto"/>
              <w:jc w:val="both"/>
              <w:rPr>
                <w:rFonts w:ascii="Garamond" w:hAnsi="Garamond"/>
                <w:b/>
                <w:sz w:val="16"/>
                <w:szCs w:val="16"/>
              </w:rPr>
            </w:pPr>
            <w:r>
              <w:rPr>
                <w:rFonts w:ascii="Garamond" w:hAnsi="Garamond"/>
                <w:b/>
                <w:sz w:val="16"/>
                <w:szCs w:val="16"/>
              </w:rPr>
              <w:t>0,</w:t>
            </w:r>
            <w:r w:rsidR="00F75165">
              <w:rPr>
                <w:rFonts w:ascii="Garamond" w:hAnsi="Garamond"/>
                <w:b/>
                <w:sz w:val="16"/>
                <w:szCs w:val="16"/>
              </w:rPr>
              <w:t>7</w:t>
            </w:r>
            <w:r>
              <w:rPr>
                <w:rFonts w:ascii="Garamond" w:hAnsi="Garamond"/>
                <w:b/>
                <w:sz w:val="16"/>
                <w:szCs w:val="16"/>
              </w:rPr>
              <w:t xml:space="preserve"> </w:t>
            </w:r>
            <w:r w:rsidR="006026B1" w:rsidRPr="0061281C">
              <w:rPr>
                <w:rFonts w:ascii="Garamond" w:hAnsi="Garamond"/>
                <w:b/>
                <w:sz w:val="16"/>
                <w:szCs w:val="16"/>
              </w:rPr>
              <w:t>(</w:t>
            </w:r>
            <w:r>
              <w:rPr>
                <w:rFonts w:ascii="Garamond" w:hAnsi="Garamond"/>
                <w:b/>
                <w:sz w:val="16"/>
                <w:szCs w:val="16"/>
              </w:rPr>
              <w:t xml:space="preserve">ноль целых </w:t>
            </w:r>
            <w:r w:rsidR="00F75165">
              <w:rPr>
                <w:rFonts w:ascii="Garamond" w:hAnsi="Garamond"/>
                <w:b/>
                <w:sz w:val="16"/>
                <w:szCs w:val="16"/>
              </w:rPr>
              <w:t>семь</w:t>
            </w:r>
            <w:r>
              <w:rPr>
                <w:rFonts w:ascii="Garamond" w:hAnsi="Garamond"/>
                <w:b/>
                <w:sz w:val="16"/>
                <w:szCs w:val="16"/>
              </w:rPr>
              <w:t xml:space="preserve"> 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B5" w:rsidRDefault="00CC39B5" w:rsidP="005D748F">
      <w:pPr>
        <w:spacing w:after="0" w:line="240" w:lineRule="auto"/>
      </w:pPr>
      <w:r>
        <w:separator/>
      </w:r>
    </w:p>
  </w:endnote>
  <w:endnote w:type="continuationSeparator" w:id="0">
    <w:p w:rsidR="00CC39B5" w:rsidRDefault="00CC39B5"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B5" w:rsidRDefault="00CC39B5" w:rsidP="005D748F">
      <w:pPr>
        <w:spacing w:after="0" w:line="240" w:lineRule="auto"/>
      </w:pPr>
      <w:r>
        <w:separator/>
      </w:r>
    </w:p>
  </w:footnote>
  <w:footnote w:type="continuationSeparator" w:id="0">
    <w:p w:rsidR="00CC39B5" w:rsidRDefault="00CC39B5"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372F81"/>
    <w:rsid w:val="00436388"/>
    <w:rsid w:val="00456EAD"/>
    <w:rsid w:val="00460EDD"/>
    <w:rsid w:val="004F70F8"/>
    <w:rsid w:val="005D748F"/>
    <w:rsid w:val="006026B1"/>
    <w:rsid w:val="006E0168"/>
    <w:rsid w:val="007A00DD"/>
    <w:rsid w:val="007F4394"/>
    <w:rsid w:val="007F5C29"/>
    <w:rsid w:val="0083176B"/>
    <w:rsid w:val="00935479"/>
    <w:rsid w:val="00A75E6A"/>
    <w:rsid w:val="00A85DC4"/>
    <w:rsid w:val="00AB491F"/>
    <w:rsid w:val="00B20B5B"/>
    <w:rsid w:val="00BA1193"/>
    <w:rsid w:val="00BE24D5"/>
    <w:rsid w:val="00C26BA8"/>
    <w:rsid w:val="00C803F2"/>
    <w:rsid w:val="00C941BC"/>
    <w:rsid w:val="00C9684D"/>
    <w:rsid w:val="00CC39B5"/>
    <w:rsid w:val="00D218A8"/>
    <w:rsid w:val="00DC74DA"/>
    <w:rsid w:val="00E37877"/>
    <w:rsid w:val="00ED7E06"/>
    <w:rsid w:val="00F037CE"/>
    <w:rsid w:val="00F75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17</cp:revision>
  <dcterms:created xsi:type="dcterms:W3CDTF">2017-02-02T08:12:00Z</dcterms:created>
  <dcterms:modified xsi:type="dcterms:W3CDTF">2017-03-01T11:33:00Z</dcterms:modified>
</cp:coreProperties>
</file>